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zh-CN" w:bidi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bidi="zh-CN"/>
        </w:rPr>
        <w:t>24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zh-CN" w:bidi="zh-CN"/>
        </w:rPr>
        <w:t>全国乡村振兴优秀案例征集方案</w:t>
      </w:r>
    </w:p>
    <w:p>
      <w:pPr>
        <w:jc w:val="center"/>
        <w:rPr>
          <w:rFonts w:hint="eastAsia" w:ascii="华文中宋" w:hAnsi="华文中宋" w:eastAsia="华文中宋" w:cs="仿宋"/>
          <w:color w:val="000000"/>
          <w:sz w:val="36"/>
          <w:szCs w:val="36"/>
          <w:lang w:val="zh-CN" w:bidi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left="643" w:leftChars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组织机构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主办单位：中国小康建设研究会</w:t>
      </w:r>
    </w:p>
    <w:p>
      <w:pPr>
        <w:pStyle w:val="6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支持单位：北京大学乡村振兴研究院</w:t>
      </w:r>
    </w:p>
    <w:p>
      <w:pPr>
        <w:widowControl/>
        <w:shd w:val="clear" w:color="auto" w:fill="FFFFFF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承办单位：中国小康建设研究会乡村振兴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工作委员会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二、支持媒体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新华社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人民日报  中央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广播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台 光明日报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中国新闻网  农民日报  人民政协报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经济日报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中国网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澎湃新闻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央广网           凤凰网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三、征集范围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级政府（含街道）、院校、企事业单位、社会团体、农业经营和服务主体等，在乡村振兴领域涌现的新典型，取得的新成就、新经验,且产生良好社会效益、经济效益、生态效益的均可自主申报，或由中国小康建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设研究会调研推荐。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四、征集内容与要求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（一）征集内容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default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围绕乡村产业振兴、人才振兴、文化振兴、生态振兴、组织振兴的五大振兴，在乡村振兴实践中的典型作法与显著成效。内容包括保障国家粮食安全、创新乡村治理、培育新型业态、城乡融合发展、种业科技创新、未来乡村建设、数字乡村建设、农村金融改革、网红村蜕变、地标品牌打造、农业全产业链服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（二）征集标准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1.真实性。必须来自乡村振兴创新实践，禁止虚构杜撰。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2.创新性。聚焦解决问题，方法有创新，工作有创造。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638" w:leftChars="304" w:right="0" w:firstLine="0" w:firstLineChars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3.实效性。实践效果良好，得到人民群众的充分认可。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638" w:leftChars="304" w:right="0" w:firstLine="0" w:firstLineChars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4.典型性。具有一定的代表性、借鉴意义和应用价值。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（三）材料要求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案例单位需提供以下相关材料的电子版与纸质版：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1.《2024全国乡村振兴优秀案例推荐表》。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2.案例文字材料。主要包括（但不限于）：（1）案例概况。案例背景、起因，发展目标和主要成绩。（2）主要做法。介绍案例的主要创新举措和特色做法。（3）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成效反响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。在促进农业高质高效、乡村宜居宜业、农民富裕富足等方面取得的成效。（4）典型意义。总结提炼案例的典型意义，突出可复制、可推广的应用价值。案例文稿应主旨清晰、层次分明、资料翔实、语言生动，富有感染力，正文字数5000字左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3.其他辅助支撑材料。包括与文稿内容相关的高清图片10张以上，报送10分钟以内与文稿内容相关视频材料，相关政府领导肯定批示、获得表彰奖励、主流媒体报道情况等。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default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（四）报送主体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院校、企事业单位和社会团体的案例材料独立报送，其他机构、组织及农业经营主体的案例材料，由政府相关部门统一把关审核后报送。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五、提交办法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案例征集时间从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2024年3月10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日起至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日截止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线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上提交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单位请将案例文件电子版发送至电子邮箱: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zgxczxyjy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@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163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.com，有关图片、影像资料、媒体报道电子扫描件请同时提交。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线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下提交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在网上提交的同时，须将报名表和文字材料加盖单位公章后，连同相关资料(有关图片、影像资料、媒体报道复印件)于20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日前寄至北京市丰台区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育仁北路东旭国际中心C座3层田勇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电话：010-53328807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bidi="zh-CN"/>
        </w:rPr>
        <w:t xml:space="preserve">13301161662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邮编: 100036。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六、评审方式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（一）入选原则。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创新性、实效性、典型性突出；可学习借鉴、可复制推广；内容相近择优入选。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（二）评选方式。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以线上投票和线下评审相结合的方式进行，线下评审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国家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有关部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门领导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和专家组成的专家评审团对案例进行集中评审(凡是推荐申报表项目填写不全的,或者考察发现案例弄虚作假的,取消入选资格)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七、后续工作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）案例汇编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最终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精选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优秀案例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个，择优在主流媒体的网站、公众号、客户端上刊发推送；然后汇编成书,呈送国家部委、省、市、县党委政府主要领导，向省、市、县组织与宣传等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部门推荐。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）总结研讨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邀请优秀案例代表参加“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第五届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中国乡村振兴发展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大会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”(日期和地点另行通知)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参加案例发布和案例图片展，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展示案例内容,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推介特色产品，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交流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先进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经验。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三）走访调研。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邀请相关部门领导和行业专家进行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案例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走访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调研工作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针对特别突出的典型案例成立课题组进行专题研究，形成资政报告，呈报相关部门。</w:t>
      </w:r>
    </w:p>
    <w:p>
      <w:pPr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（四）宣传推介。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组织中央广播电视总台、人民网、中新网、农民日报、经济日报等主流媒体持续宣传报道。具有特色产业优势的地区将推介CCTV-17频道专题报道等，让社会各界广泛关注、为当地经济发展带来“流量”与“产量”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（五）产业提升。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由研究会牵头，协同合作伙伴深度参与，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通过统筹规划、突出特色，优化结构布局，再造主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导产业为目标，以品牌为抓手，以销售为目的，以运营为核心，推动区域产业全链提升新模式，并落地执行。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为地方经济高质量发展创造“增量”。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（六）精准服务。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根据地方政府或企业需求，组织专场项目推介会、实地考察交流，为政企对接搭建桥梁和纽带，促进项目落实实施。对于符合国家鼓励扶持的重点项目，积极对接资源，指导申报国家项目，争取更多的产业政策支持。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default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八、时间安排（拟）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（一）征集时间：2024年03月10日-6月30日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（二）初审时间：2024年7月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（三）网络投票：2024年9月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（四）专家评审：2024年10月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（五）图书出版：2024年12月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default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（六）案例发布：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第五届中国乡村振兴发展大会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（七）调研工作：2024年7月-12月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default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（八）对接活动：2024年7月-2024年12月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九、其他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本次征集活动本着公开征集、自主申报、持续推介的原则，由中国小康建设研究会乡村振兴工作委员会具体执行，邀请新华社、人民日报、中央电视台、光明日报、中国新闻网、农民日报、人民政协报、经济日报、中国小康杂志等媒体跟踪报道。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ZDdiNzVhYjI3YjQwMjI5ZGIzYmQyMjc1ZDZiZjgifQ=="/>
  </w:docVars>
  <w:rsids>
    <w:rsidRoot w:val="00000000"/>
    <w:rsid w:val="32B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 w:val="2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2024-04-01T02:36:27Z</dcterms:created>
  <dc:creator>Administrator</dc:creator>
  <cp:lastModifiedBy>Administrator</cp:lastModifiedBy>
  <dcterms:modified xsi:type="dcterms:W3CDTF">2024-04-01T02:36:33Z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729D0C48FF604EA28CAED6846E25F568_12</vt:lpwstr>
  </property>
</Properties>
</file>